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511" w:rsidRDefault="008E2511">
      <w:pPr>
        <w:rPr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1DF6" wp14:editId="56C461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511" w:rsidRPr="008E2511" w:rsidRDefault="008E2511" w:rsidP="008E2511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2511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Stat</w:t>
                            </w:r>
                            <w:r w:rsidR="00B6722C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istic</w:t>
                            </w:r>
                            <w:r w:rsidRPr="008E2511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for Beginners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8E2511" w:rsidRPr="008E2511" w:rsidRDefault="008E2511" w:rsidP="008E2511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2511"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Stat</w:t>
                      </w:r>
                      <w:r w:rsidR="00B6722C"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istic</w:t>
                      </w:r>
                      <w:r w:rsidRPr="008E2511"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for Beginners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511" w:rsidRDefault="008E2511">
      <w:pPr>
        <w:rPr>
          <w:b/>
          <w:color w:val="0070C0"/>
          <w:sz w:val="40"/>
          <w:szCs w:val="40"/>
        </w:rPr>
      </w:pPr>
    </w:p>
    <w:p w:rsidR="005A4974" w:rsidRDefault="005D49D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Symbols for Elementary Statistics</w:t>
      </w:r>
    </w:p>
    <w:p w:rsidR="008E2511" w:rsidRDefault="008E2511">
      <w:pPr>
        <w:rPr>
          <w:b/>
          <w:sz w:val="36"/>
          <w:szCs w:val="36"/>
          <w:u w:val="single"/>
        </w:rPr>
      </w:pPr>
    </w:p>
    <w:p w:rsidR="00412AF5" w:rsidRPr="00412AF5" w:rsidRDefault="00412AF5" w:rsidP="00412AF5">
      <w:pPr>
        <w:spacing w:after="0" w:line="360" w:lineRule="atLeast"/>
        <w:jc w:val="center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 </w:t>
      </w:r>
      <w:r w:rsidRPr="00412AF5">
        <w:rPr>
          <w:rFonts w:ascii="Droid Sans" w:eastAsia="Times New Roman" w:hAnsi="Droid Sans" w:cs="Times New Roman"/>
          <w:noProof/>
          <w:color w:val="003399"/>
          <w:sz w:val="24"/>
          <w:szCs w:val="24"/>
        </w:rPr>
        <w:drawing>
          <wp:inline distT="0" distB="0" distL="0" distR="0" wp14:anchorId="691619D9" wp14:editId="0FEA9B89">
            <wp:extent cx="1625600" cy="1510336"/>
            <wp:effectExtent l="0" t="0" r="0" b="0"/>
            <wp:docPr id="2" name="Picture 2" descr="http://4.bp.blogspot.com/-6BQj71qVTaM/TcstClaJX6I/AAAAAAAAA8U/oU37CZsm9b0/s200/confused2cd2kk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6BQj71qVTaM/TcstClaJX6I/AAAAAAAAA8U/oU37CZsm9b0/s200/confused2cd2kk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5" cy="15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74" w:rsidRDefault="00CB7A79">
      <w:pPr>
        <w:rPr>
          <w:sz w:val="32"/>
          <w:szCs w:val="32"/>
        </w:rPr>
      </w:pPr>
      <w:r>
        <w:rPr>
          <w:sz w:val="32"/>
          <w:szCs w:val="32"/>
        </w:rPr>
        <w:t>A lot of stats b</w:t>
      </w:r>
      <w:r w:rsidR="002306F5">
        <w:rPr>
          <w:sz w:val="32"/>
          <w:szCs w:val="32"/>
        </w:rPr>
        <w:t>eginners are confused about stats symbols</w:t>
      </w:r>
      <w:r>
        <w:rPr>
          <w:sz w:val="32"/>
          <w:szCs w:val="32"/>
        </w:rPr>
        <w:t>. You could misunderstand questions or select wrong fo</w:t>
      </w:r>
      <w:r w:rsidR="002306F5">
        <w:rPr>
          <w:sz w:val="32"/>
          <w:szCs w:val="32"/>
        </w:rPr>
        <w:t>rmulas because of using wrong symbols</w:t>
      </w:r>
      <w:r w:rsidR="00AE3DA2">
        <w:rPr>
          <w:sz w:val="32"/>
          <w:szCs w:val="32"/>
        </w:rPr>
        <w:t xml:space="preserve">. A good method to clarify various </w:t>
      </w:r>
      <w:r w:rsidR="000D3408">
        <w:rPr>
          <w:sz w:val="32"/>
          <w:szCs w:val="32"/>
        </w:rPr>
        <w:t xml:space="preserve">elementary stats notations is to list all </w:t>
      </w:r>
      <w:r w:rsidR="002306F5">
        <w:rPr>
          <w:sz w:val="32"/>
          <w:szCs w:val="32"/>
        </w:rPr>
        <w:t xml:space="preserve">of </w:t>
      </w:r>
      <w:r w:rsidR="000D3408">
        <w:rPr>
          <w:sz w:val="32"/>
          <w:szCs w:val="32"/>
        </w:rPr>
        <w:t xml:space="preserve">them in a summary symbol </w:t>
      </w:r>
      <w:r w:rsidR="002306F5">
        <w:rPr>
          <w:sz w:val="32"/>
          <w:szCs w:val="32"/>
        </w:rPr>
        <w:t xml:space="preserve">table </w:t>
      </w:r>
      <w:r w:rsidR="000D3408">
        <w:rPr>
          <w:sz w:val="32"/>
          <w:szCs w:val="32"/>
        </w:rPr>
        <w:t>so that you can see the difference among them right away.</w:t>
      </w:r>
      <w:r w:rsidR="00411DA0">
        <w:rPr>
          <w:sz w:val="32"/>
          <w:szCs w:val="32"/>
        </w:rPr>
        <w:t xml:space="preserve"> Espe</w:t>
      </w:r>
      <w:r w:rsidR="0091324F">
        <w:rPr>
          <w:sz w:val="32"/>
          <w:szCs w:val="32"/>
        </w:rPr>
        <w:t>cially, when we read a question</w:t>
      </w:r>
      <w:r w:rsidR="00411DA0">
        <w:rPr>
          <w:sz w:val="32"/>
          <w:szCs w:val="32"/>
        </w:rPr>
        <w:t xml:space="preserve">, we need to be careful about whether it is </w:t>
      </w:r>
      <w:r w:rsidR="00411DA0" w:rsidRPr="0091324F">
        <w:rPr>
          <w:b/>
          <w:sz w:val="32"/>
          <w:szCs w:val="32"/>
        </w:rPr>
        <w:t>a population variable or</w:t>
      </w:r>
      <w:r w:rsidR="0091324F" w:rsidRPr="0091324F">
        <w:rPr>
          <w:b/>
          <w:sz w:val="32"/>
          <w:szCs w:val="32"/>
        </w:rPr>
        <w:t xml:space="preserve"> a</w:t>
      </w:r>
      <w:r w:rsidR="00411DA0" w:rsidRPr="0091324F">
        <w:rPr>
          <w:b/>
          <w:sz w:val="32"/>
          <w:szCs w:val="32"/>
        </w:rPr>
        <w:t xml:space="preserve"> sample variable</w:t>
      </w:r>
      <w:r w:rsidR="0091324F">
        <w:rPr>
          <w:b/>
          <w:sz w:val="32"/>
          <w:szCs w:val="32"/>
        </w:rPr>
        <w:t xml:space="preserve"> (see link “Population Variables vs. Sample Variables”)</w:t>
      </w:r>
      <w:r w:rsidR="00411DA0">
        <w:rPr>
          <w:sz w:val="32"/>
          <w:szCs w:val="32"/>
        </w:rPr>
        <w:t xml:space="preserve"> because they </w:t>
      </w:r>
      <w:r w:rsidR="0091324F">
        <w:rPr>
          <w:sz w:val="32"/>
          <w:szCs w:val="32"/>
        </w:rPr>
        <w:t>help us to</w:t>
      </w:r>
      <w:r w:rsidR="00411DA0">
        <w:rPr>
          <w:sz w:val="32"/>
          <w:szCs w:val="32"/>
        </w:rPr>
        <w:t xml:space="preserve"> </w:t>
      </w:r>
      <w:r w:rsidR="0091324F">
        <w:rPr>
          <w:sz w:val="32"/>
          <w:szCs w:val="32"/>
        </w:rPr>
        <w:t>decide</w:t>
      </w:r>
      <w:r w:rsidR="00411DA0">
        <w:rPr>
          <w:sz w:val="32"/>
          <w:szCs w:val="32"/>
        </w:rPr>
        <w:t xml:space="preserve"> which formula to apply.</w:t>
      </w:r>
      <w:r w:rsidR="000D3408">
        <w:rPr>
          <w:sz w:val="32"/>
          <w:szCs w:val="32"/>
        </w:rPr>
        <w:t xml:space="preserve"> Of course, different instructors and textbooks m</w:t>
      </w:r>
      <w:r w:rsidR="0091324F">
        <w:rPr>
          <w:sz w:val="32"/>
          <w:szCs w:val="32"/>
        </w:rPr>
        <w:t>ight use different symbols for the</w:t>
      </w:r>
      <w:r w:rsidR="000D3408">
        <w:rPr>
          <w:sz w:val="32"/>
          <w:szCs w:val="32"/>
        </w:rPr>
        <w:t xml:space="preserve"> same variable</w:t>
      </w:r>
      <w:r w:rsidR="0091324F">
        <w:rPr>
          <w:sz w:val="32"/>
          <w:szCs w:val="32"/>
        </w:rPr>
        <w:t>s</w:t>
      </w:r>
      <w:r w:rsidR="000D3408">
        <w:rPr>
          <w:sz w:val="32"/>
          <w:szCs w:val="32"/>
        </w:rPr>
        <w:t xml:space="preserve"> </w:t>
      </w:r>
      <w:r w:rsidR="00411DA0">
        <w:rPr>
          <w:sz w:val="32"/>
          <w:szCs w:val="32"/>
        </w:rPr>
        <w:t>or</w:t>
      </w:r>
      <w:r w:rsidR="0091324F">
        <w:rPr>
          <w:sz w:val="32"/>
          <w:szCs w:val="32"/>
        </w:rPr>
        <w:t xml:space="preserve"> meaning. You could make your own</w:t>
      </w:r>
      <w:r w:rsidR="000D3408">
        <w:rPr>
          <w:sz w:val="32"/>
          <w:szCs w:val="32"/>
        </w:rPr>
        <w:t xml:space="preserve"> symbol table</w:t>
      </w:r>
      <w:r w:rsidR="002306F5">
        <w:rPr>
          <w:sz w:val="32"/>
          <w:szCs w:val="32"/>
        </w:rPr>
        <w:t xml:space="preserve"> for your </w:t>
      </w:r>
      <w:r w:rsidR="00411DA0">
        <w:rPr>
          <w:sz w:val="32"/>
          <w:szCs w:val="32"/>
        </w:rPr>
        <w:t xml:space="preserve">specific </w:t>
      </w:r>
      <w:r w:rsidR="002306F5">
        <w:rPr>
          <w:sz w:val="32"/>
          <w:szCs w:val="32"/>
        </w:rPr>
        <w:t>stats class</w:t>
      </w:r>
      <w:r w:rsidR="000D3408">
        <w:rPr>
          <w:sz w:val="32"/>
          <w:szCs w:val="32"/>
        </w:rPr>
        <w:t>. Here is an example of a symbol table</w:t>
      </w:r>
      <w:r w:rsidR="004702C1">
        <w:rPr>
          <w:sz w:val="32"/>
          <w:szCs w:val="32"/>
        </w:rPr>
        <w:t xml:space="preserve"> for PSYC 2126</w:t>
      </w:r>
      <w:r w:rsidR="0081563E">
        <w:rPr>
          <w:sz w:val="32"/>
          <w:szCs w:val="32"/>
        </w:rPr>
        <w:t xml:space="preserve"> at Nipissing</w:t>
      </w:r>
      <w:r w:rsidR="000D3408">
        <w:rPr>
          <w:sz w:val="32"/>
          <w:szCs w:val="32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1631"/>
        <w:gridCol w:w="1173"/>
      </w:tblGrid>
      <w:tr w:rsidR="0081563E" w:rsidTr="0081563E">
        <w:tc>
          <w:tcPr>
            <w:tcW w:w="0" w:type="auto"/>
          </w:tcPr>
          <w:p w:rsidR="0081563E" w:rsidRDefault="0081563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81563E">
              <w:rPr>
                <w:sz w:val="32"/>
                <w:szCs w:val="32"/>
              </w:rPr>
              <w:t>opulation</w:t>
            </w:r>
          </w:p>
        </w:tc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1563E">
              <w:rPr>
                <w:sz w:val="32"/>
                <w:szCs w:val="32"/>
              </w:rPr>
              <w:t>ample</w:t>
            </w:r>
          </w:p>
        </w:tc>
      </w:tr>
      <w:tr w:rsidR="0081563E" w:rsidTr="0081563E"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81563E">
              <w:rPr>
                <w:sz w:val="32"/>
                <w:szCs w:val="32"/>
              </w:rPr>
              <w:t>ean</w:t>
            </w:r>
          </w:p>
        </w:tc>
        <w:tc>
          <w:tcPr>
            <w:tcW w:w="0" w:type="auto"/>
          </w:tcPr>
          <w:p w:rsidR="0081563E" w:rsidRDefault="0081563E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µ</w:t>
            </w:r>
          </w:p>
        </w:tc>
        <w:tc>
          <w:tcPr>
            <w:tcW w:w="0" w:type="auto"/>
          </w:tcPr>
          <w:p w:rsidR="0081563E" w:rsidRDefault="0081563E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5C7CD6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Μ</w:t>
            </w:r>
          </w:p>
        </w:tc>
      </w:tr>
      <w:tr w:rsidR="0081563E" w:rsidTr="0081563E"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1563E">
              <w:rPr>
                <w:sz w:val="32"/>
                <w:szCs w:val="32"/>
              </w:rPr>
              <w:t xml:space="preserve">tandard </w:t>
            </w:r>
            <w:r w:rsidR="00B878AE">
              <w:rPr>
                <w:sz w:val="32"/>
                <w:szCs w:val="32"/>
              </w:rPr>
              <w:t>D</w:t>
            </w:r>
            <w:r w:rsidR="0081563E">
              <w:rPr>
                <w:sz w:val="32"/>
                <w:szCs w:val="32"/>
              </w:rPr>
              <w:t xml:space="preserve">eviation </w:t>
            </w:r>
          </w:p>
        </w:tc>
        <w:tc>
          <w:tcPr>
            <w:tcW w:w="0" w:type="auto"/>
          </w:tcPr>
          <w:p w:rsidR="0081563E" w:rsidRDefault="00815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C7CD6">
              <w:rPr>
                <w:rFonts w:cstheme="minorHAnsi"/>
                <w:sz w:val="32"/>
                <w:szCs w:val="32"/>
              </w:rPr>
              <w:t>σ</w:t>
            </w:r>
          </w:p>
        </w:tc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S</w:t>
            </w:r>
          </w:p>
        </w:tc>
      </w:tr>
      <w:tr w:rsidR="0081563E" w:rsidTr="0081563E"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Variance </w:t>
            </w:r>
          </w:p>
        </w:tc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cstheme="minorHAnsi"/>
                <w:sz w:val="32"/>
                <w:szCs w:val="32"/>
              </w:rPr>
              <w:t>σ²</w:t>
            </w:r>
          </w:p>
        </w:tc>
        <w:tc>
          <w:tcPr>
            <w:tcW w:w="0" w:type="auto"/>
          </w:tcPr>
          <w:p w:rsidR="0081563E" w:rsidRDefault="005C7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S</w:t>
            </w:r>
            <w:r>
              <w:rPr>
                <w:rFonts w:cstheme="minorHAnsi"/>
                <w:sz w:val="32"/>
                <w:szCs w:val="32"/>
              </w:rPr>
              <w:t>²</w:t>
            </w:r>
          </w:p>
        </w:tc>
      </w:tr>
    </w:tbl>
    <w:p w:rsidR="005C7CD6" w:rsidRDefault="005C7CD6">
      <w:pPr>
        <w:rPr>
          <w:sz w:val="32"/>
          <w:szCs w:val="32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BC4161" w:rsidTr="0041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lastRenderedPageBreak/>
              <w:t>Σ</w:t>
            </w:r>
          </w:p>
        </w:tc>
        <w:tc>
          <w:tcPr>
            <w:tcW w:w="7938" w:type="dxa"/>
          </w:tcPr>
          <w:p w:rsidR="00BC4161" w:rsidRPr="00411DA0" w:rsidRDefault="00BC4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11DA0">
              <w:rPr>
                <w:b w:val="0"/>
                <w:sz w:val="32"/>
                <w:szCs w:val="32"/>
              </w:rPr>
              <w:t>capital sigma: summation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proofErr w:type="spellStart"/>
            <w:r w:rsidRPr="00BC4161">
              <w:rPr>
                <w:sz w:val="32"/>
                <w:szCs w:val="32"/>
              </w:rPr>
              <w:t>Σx</w:t>
            </w:r>
            <w:proofErr w:type="spellEnd"/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sum of the values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Σx²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sum of the squares of the values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(</w:t>
            </w:r>
            <w:proofErr w:type="spellStart"/>
            <w:r w:rsidRPr="00BC4161">
              <w:rPr>
                <w:sz w:val="32"/>
                <w:szCs w:val="32"/>
              </w:rPr>
              <w:t>Σx</w:t>
            </w:r>
            <w:proofErr w:type="spellEnd"/>
            <w:r w:rsidRPr="00BC4161">
              <w:rPr>
                <w:sz w:val="32"/>
                <w:szCs w:val="32"/>
              </w:rPr>
              <w:t>)²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square of the sum of all values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proofErr w:type="spellStart"/>
            <w:r w:rsidRPr="00BC4161">
              <w:rPr>
                <w:sz w:val="32"/>
                <w:szCs w:val="32"/>
              </w:rPr>
              <w:t>Σxy</w:t>
            </w:r>
            <w:proofErr w:type="spellEnd"/>
          </w:p>
        </w:tc>
        <w:tc>
          <w:tcPr>
            <w:tcW w:w="7938" w:type="dxa"/>
          </w:tcPr>
          <w:p w:rsidR="00BC4161" w:rsidRPr="00BC4161" w:rsidRDefault="00BC4161" w:rsidP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 xml:space="preserve">sum of the products of each x value multiplied by </w:t>
            </w:r>
          </w:p>
          <w:p w:rsidR="00BC4161" w:rsidRDefault="00BC4161" w:rsidP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 xml:space="preserve">the corresponding y value                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SS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BC4161">
              <w:rPr>
                <w:sz w:val="32"/>
                <w:szCs w:val="32"/>
              </w:rPr>
              <w:t>um of squares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p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C4161" w:rsidRPr="00BC4161">
              <w:rPr>
                <w:sz w:val="32"/>
                <w:szCs w:val="32"/>
              </w:rPr>
              <w:t xml:space="preserve">robability of an event of the population </w:t>
            </w:r>
            <w:proofErr w:type="spellStart"/>
            <w:r w:rsidR="00BC4161" w:rsidRPr="00BC4161">
              <w:rPr>
                <w:sz w:val="32"/>
                <w:szCs w:val="32"/>
              </w:rPr>
              <w:t>propotion</w:t>
            </w:r>
            <w:proofErr w:type="spellEnd"/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q</w:t>
            </w:r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C4161" w:rsidRPr="00BC4161">
              <w:rPr>
                <w:sz w:val="32"/>
                <w:szCs w:val="32"/>
              </w:rPr>
              <w:t>robability  of proportion equal to 1 - p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f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frequency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proofErr w:type="spellStart"/>
            <w:r w:rsidRPr="00BC4161">
              <w:rPr>
                <w:sz w:val="32"/>
                <w:szCs w:val="32"/>
              </w:rPr>
              <w:t>cf</w:t>
            </w:r>
            <w:proofErr w:type="spellEnd"/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BC4161">
              <w:rPr>
                <w:sz w:val="32"/>
                <w:szCs w:val="32"/>
              </w:rPr>
              <w:t>umulative frequency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C%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cumulative percentage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Z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Z-score, standard score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t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t-score, t distribution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 xml:space="preserve">Z </w:t>
            </w:r>
            <w:r w:rsidRPr="00B878AE">
              <w:rPr>
                <w:sz w:val="24"/>
                <w:szCs w:val="24"/>
              </w:rPr>
              <w:t>α/2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critical value of Z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 xml:space="preserve">t </w:t>
            </w:r>
            <w:r w:rsidRPr="00B878AE">
              <w:rPr>
                <w:sz w:val="24"/>
                <w:szCs w:val="24"/>
              </w:rPr>
              <w:t>α/2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critical value of t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Ho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BC4161">
              <w:rPr>
                <w:sz w:val="32"/>
                <w:szCs w:val="32"/>
              </w:rPr>
              <w:t>ull hypothesis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H1</w:t>
            </w:r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BC4161">
              <w:rPr>
                <w:sz w:val="32"/>
                <w:szCs w:val="32"/>
              </w:rPr>
              <w:t>lternative hypothesis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α</w:t>
            </w:r>
          </w:p>
        </w:tc>
        <w:tc>
          <w:tcPr>
            <w:tcW w:w="7938" w:type="dxa"/>
          </w:tcPr>
          <w:p w:rsidR="00B878AE" w:rsidRDefault="00BC4161" w:rsidP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BC4161">
              <w:rPr>
                <w:sz w:val="32"/>
                <w:szCs w:val="32"/>
              </w:rPr>
              <w:t>lpha level/significance level: probability of a type I error or the area of the critical region</w:t>
            </w:r>
          </w:p>
        </w:tc>
      </w:tr>
      <w:tr w:rsidR="00B878AE" w:rsidTr="00411DA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878AE" w:rsidRPr="00BC4161" w:rsidRDefault="00B878AE" w:rsidP="00B87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C.L</w:t>
            </w:r>
          </w:p>
        </w:tc>
        <w:tc>
          <w:tcPr>
            <w:tcW w:w="7938" w:type="dxa"/>
          </w:tcPr>
          <w:p w:rsidR="00B878AE" w:rsidRDefault="00B878AE" w:rsidP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Confidence level, C.L= 1- </w:t>
            </w:r>
            <w:r w:rsidRPr="00B878AE">
              <w:rPr>
                <w:sz w:val="32"/>
                <w:szCs w:val="32"/>
              </w:rPr>
              <w:t>α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r w:rsidRPr="00BC4161">
              <w:rPr>
                <w:sz w:val="32"/>
                <w:szCs w:val="32"/>
              </w:rPr>
              <w:t>β</w:t>
            </w:r>
          </w:p>
        </w:tc>
        <w:tc>
          <w:tcPr>
            <w:tcW w:w="7938" w:type="dxa"/>
          </w:tcPr>
          <w:p w:rsidR="00BC4161" w:rsidRDefault="00B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BC4161">
              <w:rPr>
                <w:sz w:val="32"/>
                <w:szCs w:val="32"/>
              </w:rPr>
              <w:t>eta: probability of a type II error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C4161">
            <w:pPr>
              <w:rPr>
                <w:sz w:val="32"/>
                <w:szCs w:val="32"/>
              </w:rPr>
            </w:pPr>
            <w:proofErr w:type="spellStart"/>
            <w:r w:rsidRPr="00BC4161">
              <w:rPr>
                <w:sz w:val="32"/>
                <w:szCs w:val="32"/>
              </w:rPr>
              <w:t>df</w:t>
            </w:r>
            <w:proofErr w:type="spellEnd"/>
          </w:p>
        </w:tc>
        <w:tc>
          <w:tcPr>
            <w:tcW w:w="7938" w:type="dxa"/>
          </w:tcPr>
          <w:p w:rsidR="00BC4161" w:rsidRDefault="00B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BC4161">
              <w:rPr>
                <w:sz w:val="32"/>
                <w:szCs w:val="32"/>
              </w:rPr>
              <w:t>egrees of freedom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proofErr w:type="spellStart"/>
            <w:r w:rsidRPr="00B878AE">
              <w:rPr>
                <w:sz w:val="40"/>
                <w:szCs w:val="40"/>
              </w:rPr>
              <w:t>σ</w:t>
            </w:r>
            <w:r w:rsidRPr="00B878AE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standard error of M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6"/>
                <w:szCs w:val="36"/>
              </w:rPr>
              <w:t>S</w:t>
            </w:r>
            <w:r w:rsidRPr="00B878AE">
              <w:rPr>
                <w:sz w:val="20"/>
                <w:szCs w:val="20"/>
              </w:rPr>
              <w:t>M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estimated standard error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6"/>
                <w:szCs w:val="36"/>
              </w:rPr>
              <w:t>S</w:t>
            </w:r>
            <w:r w:rsidRPr="00B878AE">
              <w:rPr>
                <w:sz w:val="20"/>
                <w:szCs w:val="20"/>
              </w:rPr>
              <w:t>(M1-M2)</w:t>
            </w:r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estimated standard error of M1 – M2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S</w:t>
            </w:r>
            <w:r w:rsidRPr="00B878AE">
              <w:rPr>
                <w:sz w:val="24"/>
                <w:szCs w:val="24"/>
              </w:rPr>
              <w:t>M</w:t>
            </w:r>
            <w:r w:rsidRPr="00B878AE">
              <w:rPr>
                <w:sz w:val="20"/>
                <w:szCs w:val="20"/>
              </w:rPr>
              <w:t>D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estimated standard error for MD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Sp²</w:t>
            </w:r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pooled variance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D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difference scores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M</w:t>
            </w:r>
            <w:r w:rsidRPr="00B878AE">
              <w:rPr>
                <w:sz w:val="24"/>
                <w:szCs w:val="24"/>
              </w:rPr>
              <w:t>D</w:t>
            </w:r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mean of sample of difference scores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40"/>
                <w:szCs w:val="40"/>
              </w:rPr>
              <w:lastRenderedPageBreak/>
              <w:t>µ</w:t>
            </w:r>
            <w:r w:rsidRPr="00B878AE">
              <w:rPr>
                <w:sz w:val="24"/>
                <w:szCs w:val="24"/>
              </w:rPr>
              <w:t>D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mean of a population of difference scores</w:t>
            </w:r>
          </w:p>
        </w:tc>
      </w:tr>
      <w:tr w:rsidR="00BC4161" w:rsidTr="004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d</w:t>
            </w:r>
          </w:p>
        </w:tc>
        <w:tc>
          <w:tcPr>
            <w:tcW w:w="7938" w:type="dxa"/>
          </w:tcPr>
          <w:p w:rsidR="00BC4161" w:rsidRDefault="00B87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Cohen’s d</w:t>
            </w:r>
          </w:p>
        </w:tc>
      </w:tr>
      <w:tr w:rsidR="00BC4161" w:rsidTr="00411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C4161" w:rsidRDefault="00B878AE">
            <w:pPr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r²</w:t>
            </w:r>
          </w:p>
        </w:tc>
        <w:tc>
          <w:tcPr>
            <w:tcW w:w="7938" w:type="dxa"/>
          </w:tcPr>
          <w:p w:rsidR="00BC4161" w:rsidRDefault="00B8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878AE">
              <w:rPr>
                <w:sz w:val="32"/>
                <w:szCs w:val="32"/>
              </w:rPr>
              <w:t>effect size</w:t>
            </w:r>
          </w:p>
        </w:tc>
      </w:tr>
    </w:tbl>
    <w:p w:rsidR="002306F5" w:rsidRPr="004702C1" w:rsidRDefault="002306F5" w:rsidP="0091324F">
      <w:pPr>
        <w:rPr>
          <w:sz w:val="32"/>
          <w:szCs w:val="32"/>
        </w:rPr>
      </w:pPr>
    </w:p>
    <w:sectPr w:rsidR="002306F5" w:rsidRPr="0047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5"/>
    <w:rsid w:val="000D3408"/>
    <w:rsid w:val="00184675"/>
    <w:rsid w:val="001E0F07"/>
    <w:rsid w:val="002306F5"/>
    <w:rsid w:val="0037166D"/>
    <w:rsid w:val="004019A1"/>
    <w:rsid w:val="00411DA0"/>
    <w:rsid w:val="00412AF5"/>
    <w:rsid w:val="004702C1"/>
    <w:rsid w:val="00493EC0"/>
    <w:rsid w:val="005A4974"/>
    <w:rsid w:val="005C7CD6"/>
    <w:rsid w:val="005D49D2"/>
    <w:rsid w:val="0081563E"/>
    <w:rsid w:val="008E2511"/>
    <w:rsid w:val="0091324F"/>
    <w:rsid w:val="009836DE"/>
    <w:rsid w:val="00AE3DA2"/>
    <w:rsid w:val="00B6722C"/>
    <w:rsid w:val="00B878AE"/>
    <w:rsid w:val="00BC4161"/>
    <w:rsid w:val="00C07F45"/>
    <w:rsid w:val="00CB7A79"/>
    <w:rsid w:val="00DB2F08"/>
    <w:rsid w:val="00E2512F"/>
    <w:rsid w:val="00F01F15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340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340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40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D340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D340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D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3E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30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411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340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340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40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D340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D340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D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3E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30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411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9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40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8" w:space="12" w:color="0A57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4.bp.blogspot.com/-6BQj71qVTaM/TcstClaJX6I/AAAAAAAAA8U/oU37CZsm9b0/s1600/confused2cd2kk4.jp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E6598AC760843A976EC40305CE3A3" ma:contentTypeVersion="1" ma:contentTypeDescription="Create a new document." ma:contentTypeScope="" ma:versionID="3de686a787dd26cc2c1e2e800f07e3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596BE1-C306-46B2-B94C-961A253010EF}"/>
</file>

<file path=customXml/itemProps2.xml><?xml version="1.0" encoding="utf-8"?>
<ds:datastoreItem xmlns:ds="http://schemas.openxmlformats.org/officeDocument/2006/customXml" ds:itemID="{BE8B596D-9A58-4F60-BB59-A37C12C84E51}"/>
</file>

<file path=customXml/itemProps3.xml><?xml version="1.0" encoding="utf-8"?>
<ds:datastoreItem xmlns:ds="http://schemas.openxmlformats.org/officeDocument/2006/customXml" ds:itemID="{DC5CA8E3-8FEE-4C94-A72C-68448E729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 Admin</dc:creator>
  <cp:lastModifiedBy>UTS Admin</cp:lastModifiedBy>
  <cp:revision>2</cp:revision>
  <dcterms:created xsi:type="dcterms:W3CDTF">2011-07-27T19:21:00Z</dcterms:created>
  <dcterms:modified xsi:type="dcterms:W3CDTF">2011-07-27T19:21:00Z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0x010100570E6598AC760843A976EC40305CE3A3</vt:lpwstr>
  </property>
  <property fmtid="{D5CDD505-2E9C-101B-9397-08002B2CF9AE}" pid="3" name="Order">
    <vt:r8>17400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